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893A1" w14:textId="77777777" w:rsidR="00902FA2" w:rsidRPr="00F80D7C" w:rsidRDefault="00902FA2" w:rsidP="00902FA2">
      <w:pPr>
        <w:outlineLvl w:val="0"/>
        <w:rPr>
          <w:b/>
          <w:sz w:val="32"/>
          <w:szCs w:val="32"/>
        </w:rPr>
      </w:pPr>
      <w:r w:rsidRPr="00F80D7C">
        <w:rPr>
          <w:b/>
          <w:sz w:val="32"/>
          <w:szCs w:val="32"/>
        </w:rPr>
        <w:t xml:space="preserve">OBJEKT  č. </w:t>
      </w:r>
      <w:smartTag w:uri="urn:schemas-microsoft-com:office:smarttags" w:element="metricconverter">
        <w:smartTagPr>
          <w:attr w:name="ProductID" w:val="8 a"/>
        </w:smartTagPr>
        <w:r w:rsidRPr="00F80D7C">
          <w:rPr>
            <w:b/>
            <w:sz w:val="32"/>
            <w:szCs w:val="32"/>
          </w:rPr>
          <w:t>8 a</w:t>
        </w:r>
      </w:smartTag>
      <w:r w:rsidRPr="00F80D7C">
        <w:rPr>
          <w:b/>
          <w:sz w:val="32"/>
          <w:szCs w:val="32"/>
        </w:rPr>
        <w:t xml:space="preserve"> -  Elektrodílny</w:t>
      </w:r>
    </w:p>
    <w:p w14:paraId="3E1893A2" w14:textId="77777777" w:rsidR="00902FA2" w:rsidRPr="00F80D7C" w:rsidRDefault="00902FA2" w:rsidP="00902FA2">
      <w:pPr>
        <w:rPr>
          <w:b/>
          <w:sz w:val="32"/>
          <w:szCs w:val="32"/>
        </w:rPr>
      </w:pPr>
      <w:r w:rsidRPr="00F80D7C">
        <w:rPr>
          <w:b/>
          <w:sz w:val="32"/>
          <w:szCs w:val="32"/>
        </w:rPr>
        <w:t xml:space="preserve">                 č. 8 b -  Garáže </w:t>
      </w:r>
    </w:p>
    <w:p w14:paraId="3E1893A3" w14:textId="77777777" w:rsidR="00902FA2" w:rsidRPr="00F80D7C" w:rsidRDefault="00902FA2" w:rsidP="00902FA2">
      <w:pPr>
        <w:rPr>
          <w:b/>
          <w:sz w:val="28"/>
          <w:szCs w:val="28"/>
        </w:rPr>
      </w:pPr>
    </w:p>
    <w:p w14:paraId="3E1893A4" w14:textId="77777777" w:rsidR="00902FA2" w:rsidRPr="00F80D7C" w:rsidRDefault="00902FA2" w:rsidP="00902FA2">
      <w:pPr>
        <w:pStyle w:val="Nadpis1"/>
      </w:pPr>
      <w:r w:rsidRPr="00F80D7C">
        <w:t>STRUČNÁ  CHARAKTERISTIKA  OBJEKTU</w:t>
      </w:r>
    </w:p>
    <w:p w14:paraId="3E1893A5" w14:textId="77777777" w:rsidR="00902FA2" w:rsidRDefault="00902FA2" w:rsidP="00902FA2"/>
    <w:p w14:paraId="3E1893A6" w14:textId="4EF0667F" w:rsidR="00902FA2" w:rsidRPr="00F80D7C" w:rsidRDefault="00902FA2" w:rsidP="00902FA2">
      <w:pPr>
        <w:jc w:val="both"/>
        <w:rPr>
          <w:sz w:val="24"/>
        </w:rPr>
      </w:pPr>
      <w:r>
        <w:t xml:space="preserve">    </w:t>
      </w:r>
      <w:r w:rsidRPr="00F80D7C">
        <w:rPr>
          <w:sz w:val="24"/>
        </w:rPr>
        <w:t xml:space="preserve">Jedná  se  o  dva objekty ,  které  jsou  začleněny  v rámci  jedné  dvoupodlažní  budovy  bez  podsklepení. Jedná  se  o  bývalé  pomocné budovy ( D,E,F ),  kde  byly  umístěny  dílny, skladiště  a  stará  vrátnice. Později  byly  tyto  budovy  předělány  a  upraveny  pro  jiné  účely  a  tím  vznikl  komplex  jedné  budovy  se  dvěma  objekty  tj. část  </w:t>
      </w:r>
      <w:smartTag w:uri="urn:schemas-microsoft-com:office:smarttags" w:element="metricconverter">
        <w:smartTagPr>
          <w:attr w:name="ProductID" w:val="10 a"/>
        </w:smartTagPr>
        <w:r w:rsidRPr="00F80D7C">
          <w:rPr>
            <w:sz w:val="24"/>
          </w:rPr>
          <w:t>10 a</w:t>
        </w:r>
      </w:smartTag>
      <w:r w:rsidRPr="00F80D7C">
        <w:rPr>
          <w:sz w:val="24"/>
        </w:rPr>
        <w:t xml:space="preserve"> – objekt  elektrodílen  a  část  10 b -  objekt  garáží. </w:t>
      </w:r>
      <w:r w:rsidR="00F6424C" w:rsidRPr="00F80D7C">
        <w:rPr>
          <w:sz w:val="24"/>
        </w:rPr>
        <w:t>Tato budova</w:t>
      </w:r>
      <w:r w:rsidRPr="00F80D7C">
        <w:rPr>
          <w:sz w:val="24"/>
        </w:rPr>
        <w:t xml:space="preserve"> vícestranného půdorysného  tvaru  se  nachází  v jižní  části  další</w:t>
      </w:r>
      <w:r w:rsidR="00F6424C">
        <w:rPr>
          <w:sz w:val="24"/>
        </w:rPr>
        <w:t>ch</w:t>
      </w:r>
      <w:r w:rsidRPr="00F80D7C">
        <w:rPr>
          <w:sz w:val="24"/>
        </w:rPr>
        <w:t xml:space="preserve">  budov  rozmístěných  kolem  asfaltové  plochy  dvora  a  je  cca  </w:t>
      </w:r>
      <w:smartTag w:uri="urn:schemas-microsoft-com:office:smarttags" w:element="metricconverter">
        <w:smartTagPr>
          <w:attr w:name="ProductID" w:val="40 m"/>
        </w:smartTagPr>
        <w:r w:rsidRPr="00F80D7C">
          <w:rPr>
            <w:sz w:val="24"/>
          </w:rPr>
          <w:t>40 m</w:t>
        </w:r>
      </w:smartTag>
      <w:r w:rsidRPr="00F80D7C">
        <w:rPr>
          <w:sz w:val="24"/>
        </w:rPr>
        <w:t xml:space="preserve">  západním  směrem  od  stávající  vrátnice.  Podél  jižní  strany  budovy  je  vedena  hlavní  příjezdová  vnitrozávodní  komunikace ,  která  musí  být  trvale  průjezdná  po dobu  demoličních  prací.  Výška  této  dvoupodlažní  budovy  se  dvěma  objekty  dosahuje  cca  </w:t>
      </w:r>
      <w:smartTag w:uri="urn:schemas-microsoft-com:office:smarttags" w:element="metricconverter">
        <w:smartTagPr>
          <w:attr w:name="ProductID" w:val="7,0 m"/>
        </w:smartTagPr>
        <w:r w:rsidRPr="00F80D7C">
          <w:rPr>
            <w:sz w:val="24"/>
          </w:rPr>
          <w:t>7,0 m</w:t>
        </w:r>
      </w:smartTag>
      <w:r w:rsidRPr="00F80D7C">
        <w:rPr>
          <w:sz w:val="24"/>
        </w:rPr>
        <w:t xml:space="preserve">, v jižní  části  budovy  kde je  pouze  přízemní  část  dosahuje  výška  do  </w:t>
      </w:r>
      <w:smartTag w:uri="urn:schemas-microsoft-com:office:smarttags" w:element="metricconverter">
        <w:smartTagPr>
          <w:attr w:name="ProductID" w:val="3,5 m"/>
        </w:smartTagPr>
        <w:r w:rsidRPr="00F80D7C">
          <w:rPr>
            <w:sz w:val="24"/>
          </w:rPr>
          <w:t>3,5 m</w:t>
        </w:r>
      </w:smartTag>
      <w:r w:rsidRPr="00F80D7C">
        <w:rPr>
          <w:sz w:val="24"/>
        </w:rPr>
        <w:t xml:space="preserve">.  Půdorysný  rozměr  budovy  na  severní  straně  je  </w:t>
      </w:r>
      <w:smartTag w:uri="urn:schemas-microsoft-com:office:smarttags" w:element="metricconverter">
        <w:smartTagPr>
          <w:attr w:name="ProductID" w:val="45,5 m"/>
        </w:smartTagPr>
        <w:r w:rsidRPr="00F80D7C">
          <w:rPr>
            <w:sz w:val="24"/>
          </w:rPr>
          <w:t>45,5 m</w:t>
        </w:r>
      </w:smartTag>
      <w:r w:rsidRPr="00F80D7C">
        <w:rPr>
          <w:sz w:val="24"/>
        </w:rPr>
        <w:t xml:space="preserve">,  na  západní  straně  </w:t>
      </w:r>
      <w:smartTag w:uri="urn:schemas-microsoft-com:office:smarttags" w:element="metricconverter">
        <w:smartTagPr>
          <w:attr w:name="ProductID" w:val="15,5 m"/>
        </w:smartTagPr>
        <w:r w:rsidRPr="00F80D7C">
          <w:rPr>
            <w:sz w:val="24"/>
          </w:rPr>
          <w:t>15,5 m</w:t>
        </w:r>
      </w:smartTag>
      <w:r w:rsidRPr="00F80D7C">
        <w:rPr>
          <w:sz w:val="24"/>
        </w:rPr>
        <w:t xml:space="preserve">  a  na  východní je  </w:t>
      </w:r>
      <w:smartTag w:uri="urn:schemas-microsoft-com:office:smarttags" w:element="metricconverter">
        <w:smartTagPr>
          <w:attr w:name="ProductID" w:val="26,5 m"/>
        </w:smartTagPr>
        <w:r w:rsidRPr="00F80D7C">
          <w:rPr>
            <w:sz w:val="24"/>
          </w:rPr>
          <w:t>26,5 m</w:t>
        </w:r>
      </w:smartTag>
      <w:r w:rsidRPr="00F80D7C">
        <w:rPr>
          <w:sz w:val="24"/>
        </w:rPr>
        <w:t>.  Jižní  část  budovy s výškou  přízemního  prostoru  je  půdorys  stupňovitě  zalomený. Prostor  kolem této  víceúčelové budovy  je  částečně  zpevněn  starou  panelovou  plochou , která  je  položena  podél  západní  strany  budovy   obj. 8</w:t>
      </w:r>
      <w:r w:rsidR="00F6424C">
        <w:rPr>
          <w:sz w:val="24"/>
        </w:rPr>
        <w:t xml:space="preserve"> </w:t>
      </w:r>
      <w:r w:rsidRPr="00F80D7C">
        <w:rPr>
          <w:sz w:val="24"/>
        </w:rPr>
        <w:t xml:space="preserve">a  a  dále  pokračuje  severním  směrem  podél  objektu  č. 9 – administrativní  budovy.  Na  ostatních  stranách  budovy  s obj. </w:t>
      </w:r>
      <w:smartTag w:uri="urn:schemas-microsoft-com:office:smarttags" w:element="metricconverter">
        <w:smartTagPr>
          <w:attr w:name="ProductID" w:val="8 a"/>
        </w:smartTagPr>
        <w:r w:rsidRPr="00F80D7C">
          <w:rPr>
            <w:sz w:val="24"/>
          </w:rPr>
          <w:t>8 a</w:t>
        </w:r>
      </w:smartTag>
      <w:r w:rsidRPr="00F80D7C">
        <w:rPr>
          <w:sz w:val="24"/>
        </w:rPr>
        <w:t>, 8b  se  nachází  živičné  plochy  různé  kvality  (  forma  pojízdných  komunikací  nebo  parkovacích  ploch). V  prostoru  dvora severně  od  budovy  jsou  zpevněné  parkovací  živičné  plochy. Obestavěný  prostor  budovy  s obj.  č.</w:t>
      </w:r>
      <w:r w:rsidR="00F6424C">
        <w:rPr>
          <w:sz w:val="24"/>
        </w:rPr>
        <w:t xml:space="preserve"> </w:t>
      </w:r>
      <w:r w:rsidRPr="00F80D7C">
        <w:rPr>
          <w:sz w:val="24"/>
        </w:rPr>
        <w:t xml:space="preserve">8 a, 8 b </w:t>
      </w:r>
      <w:r w:rsidR="00F6424C" w:rsidRPr="00F80D7C">
        <w:rPr>
          <w:sz w:val="24"/>
        </w:rPr>
        <w:t>je spočítán</w:t>
      </w:r>
    </w:p>
    <w:p w14:paraId="3E1893A7" w14:textId="77777777" w:rsidR="00902FA2" w:rsidRPr="00F80D7C" w:rsidRDefault="00902FA2" w:rsidP="00902FA2">
      <w:pPr>
        <w:jc w:val="both"/>
        <w:rPr>
          <w:sz w:val="24"/>
        </w:rPr>
      </w:pPr>
      <w:r w:rsidRPr="00F80D7C">
        <w:rPr>
          <w:sz w:val="24"/>
        </w:rPr>
        <w:t xml:space="preserve">na  </w:t>
      </w:r>
      <w:smartTag w:uri="urn:schemas-microsoft-com:office:smarttags" w:element="metricconverter">
        <w:smartTagPr>
          <w:attr w:name="ProductID" w:val="6ﾠ210 m3"/>
        </w:smartTagPr>
        <w:r w:rsidRPr="00F80D7C">
          <w:rPr>
            <w:sz w:val="24"/>
          </w:rPr>
          <w:t>6 210 m3</w:t>
        </w:r>
      </w:smartTag>
      <w:r w:rsidRPr="00F80D7C">
        <w:rPr>
          <w:sz w:val="24"/>
        </w:rPr>
        <w:t xml:space="preserve">.  </w:t>
      </w:r>
    </w:p>
    <w:p w14:paraId="3E1893A8" w14:textId="77777777" w:rsidR="00902FA2" w:rsidRDefault="00902FA2" w:rsidP="00902FA2">
      <w:pPr>
        <w:jc w:val="both"/>
        <w:rPr>
          <w:b/>
          <w:sz w:val="24"/>
        </w:rPr>
      </w:pPr>
    </w:p>
    <w:p w14:paraId="3E1893A9" w14:textId="4EBC3F6C" w:rsidR="00902FA2" w:rsidRPr="00F80D7C" w:rsidRDefault="00902FA2" w:rsidP="00902FA2">
      <w:pPr>
        <w:jc w:val="both"/>
        <w:rPr>
          <w:sz w:val="24"/>
        </w:rPr>
      </w:pPr>
      <w:r>
        <w:rPr>
          <w:b/>
          <w:sz w:val="24"/>
        </w:rPr>
        <w:t xml:space="preserve">     </w:t>
      </w:r>
      <w:r w:rsidRPr="00F80D7C">
        <w:rPr>
          <w:sz w:val="24"/>
        </w:rPr>
        <w:t xml:space="preserve">Konstrukčně  se  jedná u  obou  objektů  o  železobetonový  skelet  s cihelným  výplňovým zdivem  a  cihelnými  příčkami . Střešní  konstrukce  je pultová  s živičnou  křemílkovou  krytinou  ve  spádu  3 %  a  s  izolačními  střešními  vrstvami  na  železobetonové  stropní  desce  s  příčně  uloženými  trámky. Stropní  deska  v podlaží  s příčným  rozpětím  sloupů  cca </w:t>
      </w:r>
      <w:smartTag w:uri="urn:schemas-microsoft-com:office:smarttags" w:element="metricconverter">
        <w:smartTagPr>
          <w:attr w:name="ProductID" w:val="9,5 m"/>
        </w:smartTagPr>
        <w:r w:rsidRPr="00F80D7C">
          <w:rPr>
            <w:sz w:val="24"/>
          </w:rPr>
          <w:t>9,5 m</w:t>
        </w:r>
      </w:smartTag>
      <w:r w:rsidRPr="00F80D7C">
        <w:rPr>
          <w:sz w:val="24"/>
        </w:rPr>
        <w:t xml:space="preserve">  je  zesílená  a to silnými  příčnými  trámy  s  podélnými železobetonovými  trámky.  Budova  je  celá  nepodsklepená ,  podlahovou  konstrukci  tvoří  betonová  deska  s podsypem  a  isolační  vrstvou . Založení  budovy  je  na  čtvercových  železobetonových  patkách,  do  kterých  jsou  vetknuty  sloupy  železobetonového  skeletu,  po  obvodě  budovy  jsou patky  menší,  ale  jsou  propojeny  železobetonovým  pasem.  Založení  na  pasech  je  rovněž  u  přízemní  části  budovy. Výplně  otvorů  ( okna  a  dveře ) jsou  typové  v ocelovém , dřevěném  nebo  v  plastovém  rámu. Část  oken  je  zasklena  a  část  vyplňují  sklobetonové  tvárnice  (  luxfery ),  zejména  v schodišťových  prostorech  a  ve  vyšších  úrovních  okenních  otvorů. Vjezdy  do  části  budovy  s garážemi  jsou klasická  kovová  vrata.      Schodiště  jsou  ze  železobetonové  konstrukce , zábradlí  jsou  kovová.  Podlahy  v objektu  jsou  podle  účelu  místností -  keramické  dlažby,  lité  teraso,  PVC  nebo  betonová  mazanina.  </w:t>
      </w:r>
      <w:r w:rsidR="007E2886" w:rsidRPr="00F80D7C">
        <w:rPr>
          <w:sz w:val="24"/>
        </w:rPr>
        <w:t>Stěny jsou</w:t>
      </w:r>
      <w:r w:rsidRPr="00F80D7C">
        <w:rPr>
          <w:sz w:val="24"/>
        </w:rPr>
        <w:t xml:space="preserve"> </w:t>
      </w:r>
      <w:r w:rsidR="007E2886" w:rsidRPr="00F80D7C">
        <w:rPr>
          <w:sz w:val="24"/>
        </w:rPr>
        <w:t>opatřeny omítkami</w:t>
      </w:r>
      <w:r w:rsidRPr="00F80D7C">
        <w:rPr>
          <w:sz w:val="24"/>
        </w:rPr>
        <w:t>,  v části  se  sociálními  prostorami  je  keramický  obklad  a  venkovní  fasáda  je  klasická  cementovápen</w:t>
      </w:r>
      <w:r w:rsidR="007E2886">
        <w:rPr>
          <w:sz w:val="24"/>
        </w:rPr>
        <w:t>n</w:t>
      </w:r>
      <w:r w:rsidRPr="00F80D7C">
        <w:rPr>
          <w:sz w:val="24"/>
        </w:rPr>
        <w:t xml:space="preserve">á. Vnitřní vybavení  odpovídá  účelu   opravárenských  dílen  pro  elektro  a  garážovaná  vozidla.     </w:t>
      </w:r>
    </w:p>
    <w:p w14:paraId="3E1893AA" w14:textId="77777777" w:rsidR="00902FA2" w:rsidRDefault="00902FA2" w:rsidP="00902FA2">
      <w:pPr>
        <w:jc w:val="both"/>
        <w:outlineLvl w:val="0"/>
      </w:pPr>
    </w:p>
    <w:p w14:paraId="3E1893AB" w14:textId="77777777" w:rsidR="00902FA2" w:rsidRDefault="00902FA2" w:rsidP="00902FA2">
      <w:pPr>
        <w:pStyle w:val="Nadpis1"/>
      </w:pPr>
      <w:r>
        <w:lastRenderedPageBreak/>
        <w:t>Fotografie současného stavu</w:t>
      </w:r>
    </w:p>
    <w:p w14:paraId="3E1893AC" w14:textId="77777777" w:rsidR="00902FA2" w:rsidRDefault="00902FA2" w:rsidP="00902FA2">
      <w:pPr>
        <w:jc w:val="both"/>
        <w:outlineLvl w:val="0"/>
      </w:pPr>
    </w:p>
    <w:p w14:paraId="3E1893AD" w14:textId="77777777" w:rsidR="00902FA2" w:rsidRDefault="00902FA2" w:rsidP="00902FA2">
      <w:pPr>
        <w:jc w:val="both"/>
        <w:outlineLvl w:val="0"/>
      </w:pPr>
      <w:r>
        <w:rPr>
          <w:noProof/>
        </w:rPr>
        <w:drawing>
          <wp:inline distT="0" distB="0" distL="0" distR="0" wp14:anchorId="3E1893B6" wp14:editId="3E1893B7">
            <wp:extent cx="2752725" cy="3667125"/>
            <wp:effectExtent l="0" t="0" r="9525" b="9525"/>
            <wp:docPr id="7" name="Obrázek 7" descr="11 8A,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1 8A,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3E1893B8" wp14:editId="3E1893B9">
            <wp:extent cx="2752725" cy="3667125"/>
            <wp:effectExtent l="0" t="0" r="9525" b="9525"/>
            <wp:docPr id="6" name="Obrázek 6" descr="12%208A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2%208AB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14:paraId="3E1893AE" w14:textId="77777777" w:rsidR="00902FA2" w:rsidRDefault="00902FA2" w:rsidP="00902FA2">
      <w:pPr>
        <w:jc w:val="both"/>
        <w:outlineLvl w:val="0"/>
      </w:pPr>
    </w:p>
    <w:p w14:paraId="3E1893AF" w14:textId="77777777" w:rsidR="00902FA2" w:rsidRDefault="00902FA2" w:rsidP="00902FA2">
      <w:pPr>
        <w:jc w:val="both"/>
        <w:outlineLvl w:val="0"/>
      </w:pPr>
      <w:r>
        <w:rPr>
          <w:noProof/>
        </w:rPr>
        <w:drawing>
          <wp:inline distT="0" distB="0" distL="0" distR="0" wp14:anchorId="3E1893BA" wp14:editId="3E1893BB">
            <wp:extent cx="2752725" cy="3667125"/>
            <wp:effectExtent l="0" t="0" r="9525" b="9525"/>
            <wp:docPr id="5" name="Obrázek 5" descr="19%208AB,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9%208AB,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3E1893BC" wp14:editId="3E1893BD">
            <wp:extent cx="2752725" cy="3667125"/>
            <wp:effectExtent l="0" t="0" r="9525" b="9525"/>
            <wp:docPr id="4" name="Obrázek 4" descr="20%208B,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%208B,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14:paraId="3E1893B0" w14:textId="77777777" w:rsidR="00902FA2" w:rsidRDefault="00902FA2" w:rsidP="00902FA2">
      <w:pPr>
        <w:jc w:val="both"/>
        <w:outlineLvl w:val="0"/>
      </w:pPr>
    </w:p>
    <w:p w14:paraId="3E1893B1" w14:textId="77777777" w:rsidR="00902FA2" w:rsidRDefault="00902FA2" w:rsidP="00902FA2">
      <w:pPr>
        <w:jc w:val="both"/>
        <w:outlineLvl w:val="0"/>
      </w:pPr>
    </w:p>
    <w:p w14:paraId="3E1893B2" w14:textId="77777777" w:rsidR="00902FA2" w:rsidRDefault="00902FA2" w:rsidP="00902FA2">
      <w:pPr>
        <w:jc w:val="both"/>
        <w:outlineLvl w:val="0"/>
      </w:pPr>
      <w:r>
        <w:rPr>
          <w:noProof/>
        </w:rPr>
        <w:lastRenderedPageBreak/>
        <w:drawing>
          <wp:inline distT="0" distB="0" distL="0" distR="0" wp14:anchorId="3E1893BE" wp14:editId="3E1893BF">
            <wp:extent cx="2752725" cy="3667125"/>
            <wp:effectExtent l="0" t="0" r="9525" b="9525"/>
            <wp:docPr id="3" name="Obrázek 3" descr="21%208B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%208B,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3E1893C0" wp14:editId="3E1893C1">
            <wp:extent cx="2752725" cy="3667125"/>
            <wp:effectExtent l="0" t="0" r="9525" b="9525"/>
            <wp:docPr id="2" name="Obrázek 2" descr="22%208B,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%208B,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893B3" w14:textId="77777777" w:rsidR="00902FA2" w:rsidRDefault="00902FA2" w:rsidP="00902FA2">
      <w:pPr>
        <w:jc w:val="both"/>
        <w:outlineLvl w:val="0"/>
      </w:pPr>
    </w:p>
    <w:p w14:paraId="3E1893B4" w14:textId="77777777" w:rsidR="00902FA2" w:rsidRDefault="00902FA2" w:rsidP="00902FA2">
      <w:pPr>
        <w:jc w:val="both"/>
        <w:outlineLvl w:val="0"/>
      </w:pPr>
      <w:r>
        <w:rPr>
          <w:noProof/>
        </w:rPr>
        <w:drawing>
          <wp:inline distT="0" distB="0" distL="0" distR="0" wp14:anchorId="3E1893C2" wp14:editId="3E1893C3">
            <wp:extent cx="2752725" cy="3667125"/>
            <wp:effectExtent l="0" t="0" r="9525" b="9525"/>
            <wp:docPr id="1" name="Obrázek 1" descr="23%208B,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3%208B,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</w:p>
    <w:p w14:paraId="3E1893B5" w14:textId="77777777" w:rsidR="00B35980" w:rsidRDefault="00B35980"/>
    <w:sectPr w:rsidR="00B35980" w:rsidSect="00BB46E8">
      <w:headerReference w:type="default" r:id="rId16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682B9" w14:textId="77777777" w:rsidR="0007570E" w:rsidRDefault="0007570E" w:rsidP="00BB46E8">
      <w:r>
        <w:separator/>
      </w:r>
    </w:p>
  </w:endnote>
  <w:endnote w:type="continuationSeparator" w:id="0">
    <w:p w14:paraId="791ABEF9" w14:textId="77777777" w:rsidR="0007570E" w:rsidRDefault="0007570E" w:rsidP="00BB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B5EF4" w14:textId="77777777" w:rsidR="0007570E" w:rsidRDefault="0007570E" w:rsidP="00BB46E8">
      <w:r>
        <w:separator/>
      </w:r>
    </w:p>
  </w:footnote>
  <w:footnote w:type="continuationSeparator" w:id="0">
    <w:p w14:paraId="61D32099" w14:textId="77777777" w:rsidR="0007570E" w:rsidRDefault="0007570E" w:rsidP="00BB4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5410233"/>
      <w:docPartObj>
        <w:docPartGallery w:val="Page Numbers (Top of Page)"/>
        <w:docPartUnique/>
      </w:docPartObj>
    </w:sdtPr>
    <w:sdtContent>
      <w:p w14:paraId="3E1893C8" w14:textId="77777777" w:rsidR="00BB46E8" w:rsidRDefault="00BB46E8">
        <w:pPr>
          <w:pStyle w:val="Zhlav"/>
          <w:jc w:val="right"/>
        </w:pPr>
        <w:r>
          <w:t>BPO 6-100012/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3E1893C9" w14:textId="77777777" w:rsidR="00BB46E8" w:rsidRDefault="00BB46E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F3817"/>
    <w:multiLevelType w:val="multilevel"/>
    <w:tmpl w:val="ABF2F40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pStyle w:val="Nadpis5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num w:numId="1" w16cid:durableId="128910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2FA2"/>
    <w:rsid w:val="0007570E"/>
    <w:rsid w:val="007E2886"/>
    <w:rsid w:val="00902FA2"/>
    <w:rsid w:val="00B35980"/>
    <w:rsid w:val="00BB46E8"/>
    <w:rsid w:val="00F6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1893A1"/>
  <w15:docId w15:val="{BF180986-D15A-4900-B929-0C9271E6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02FA2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02FA2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902FA2"/>
    <w:pPr>
      <w:keepNext/>
      <w:numPr>
        <w:ilvl w:val="1"/>
        <w:numId w:val="1"/>
      </w:numPr>
      <w:tabs>
        <w:tab w:val="clear" w:pos="1440"/>
        <w:tab w:val="num" w:pos="108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02FA2"/>
    <w:pPr>
      <w:keepNext/>
      <w:numPr>
        <w:ilvl w:val="2"/>
        <w:numId w:val="1"/>
      </w:numPr>
      <w:tabs>
        <w:tab w:val="clear" w:pos="2160"/>
        <w:tab w:val="num" w:pos="1440"/>
      </w:tabs>
      <w:spacing w:before="240" w:after="60"/>
      <w:ind w:left="1072" w:hanging="505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902FA2"/>
    <w:pPr>
      <w:keepNext/>
      <w:numPr>
        <w:ilvl w:val="3"/>
        <w:numId w:val="1"/>
      </w:numPr>
      <w:tabs>
        <w:tab w:val="clear" w:pos="2880"/>
        <w:tab w:val="num" w:pos="2160"/>
      </w:tabs>
      <w:spacing w:before="240" w:after="60"/>
      <w:ind w:left="3528" w:hanging="2448"/>
      <w:outlineLvl w:val="3"/>
    </w:pPr>
    <w:rPr>
      <w:b/>
      <w:bCs/>
      <w:sz w:val="24"/>
      <w:szCs w:val="28"/>
    </w:rPr>
  </w:style>
  <w:style w:type="paragraph" w:styleId="Nadpis5">
    <w:name w:val="heading 5"/>
    <w:basedOn w:val="Normln"/>
    <w:next w:val="Normln"/>
    <w:link w:val="Nadpis5Char"/>
    <w:qFormat/>
    <w:rsid w:val="00902FA2"/>
    <w:pPr>
      <w:numPr>
        <w:ilvl w:val="4"/>
        <w:numId w:val="1"/>
      </w:numPr>
      <w:spacing w:before="120" w:after="120"/>
      <w:jc w:val="both"/>
      <w:outlineLvl w:val="4"/>
    </w:pPr>
    <w:rPr>
      <w:rFonts w:ascii="Arial (WE)" w:hAnsi="Arial (WE)"/>
      <w:b/>
      <w:kern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02FA2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02FA2"/>
    <w:rPr>
      <w:rFonts w:ascii="Arial" w:eastAsia="Times New Roman" w:hAnsi="Arial" w:cs="Arial"/>
      <w:b/>
      <w:bCs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02FA2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02FA2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902FA2"/>
    <w:rPr>
      <w:rFonts w:ascii="Arial (WE)" w:eastAsia="Times New Roman" w:hAnsi="Arial (WE)" w:cs="Times New Roman"/>
      <w:b/>
      <w:kern w:val="28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02FA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2FA2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46E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46E8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B46E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46E8"/>
    <w:rPr>
      <w:rFonts w:ascii="Arial" w:eastAsia="Times New Roman" w:hAnsi="Arial" w:cs="Times New Roman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4EEC7D-6C7C-4B29-A616-C3C5121936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3B1EB7-DE5E-4E1B-8DD9-9A1C65981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511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BPO spol. s r.o.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Jan</dc:creator>
  <cp:lastModifiedBy>Černá Dita</cp:lastModifiedBy>
  <cp:revision>4</cp:revision>
  <dcterms:created xsi:type="dcterms:W3CDTF">2018-03-08T15:46:00Z</dcterms:created>
  <dcterms:modified xsi:type="dcterms:W3CDTF">2023-10-18T12:23:00Z</dcterms:modified>
</cp:coreProperties>
</file>